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80033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82491"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BE55D63" w:rsidR="009C2829" w:rsidRPr="000257FB" w:rsidRDefault="00D56CE7" w:rsidP="005A3FB9">
            <w:pPr>
              <w:pStyle w:val="Header"/>
              <w:jc w:val="center"/>
              <w:rPr>
                <w:rFonts w:asciiTheme="majorHAnsi" w:hAnsiTheme="majorHAnsi"/>
                <w:b/>
              </w:rPr>
            </w:pPr>
            <w:r>
              <w:rPr>
                <w:rFonts w:asciiTheme="majorHAnsi" w:hAnsiTheme="majorHAnsi"/>
                <w:b/>
                <w:sz w:val="22"/>
              </w:rPr>
              <w:t xml:space="preserve">July </w:t>
            </w:r>
            <w:r w:rsidR="005D208D">
              <w:rPr>
                <w:rFonts w:asciiTheme="majorHAnsi" w:hAnsiTheme="majorHAnsi"/>
                <w:b/>
                <w:sz w:val="22"/>
              </w:rPr>
              <w:t>26</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45F8FE20" w:rsidR="00936B3A" w:rsidRPr="003F0266" w:rsidRDefault="00800335" w:rsidP="008B6179">
            <w:pPr>
              <w:rPr>
                <w:rFonts w:ascii="Calibri Light" w:hAnsi="Calibri Light"/>
                <w:noProof/>
                <w:sz w:val="20"/>
              </w:rPr>
            </w:pPr>
            <w:r>
              <w:rPr>
                <w:rFonts w:ascii="Calibri Light" w:hAnsi="Calibri Light"/>
                <w:noProof/>
                <w:sz w:val="20"/>
              </w:rPr>
              <w:t>Nothing to report</w:t>
            </w:r>
            <w:bookmarkStart w:id="0" w:name="_GoBack"/>
            <w:bookmarkEnd w:id="0"/>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2F8425D3" w14:textId="77777777" w:rsidR="005D208D" w:rsidRPr="005D208D" w:rsidRDefault="005D208D" w:rsidP="005D208D">
            <w:pPr>
              <w:rPr>
                <w:rFonts w:asciiTheme="majorHAnsi" w:hAnsiTheme="majorHAnsi" w:cstheme="majorHAnsi"/>
                <w:b/>
                <w:bCs/>
                <w:color w:val="000000"/>
              </w:rPr>
            </w:pPr>
            <w:r w:rsidRPr="005D208D">
              <w:rPr>
                <w:rFonts w:asciiTheme="majorHAnsi" w:hAnsiTheme="majorHAnsi" w:cstheme="majorHAnsi"/>
                <w:b/>
                <w:bCs/>
                <w:color w:val="000000"/>
              </w:rPr>
              <w:t xml:space="preserve">Episode 8 of Dr. </w:t>
            </w:r>
            <w:proofErr w:type="spellStart"/>
            <w:r w:rsidRPr="005D208D">
              <w:rPr>
                <w:rFonts w:asciiTheme="majorHAnsi" w:hAnsiTheme="majorHAnsi" w:cstheme="majorHAnsi"/>
                <w:b/>
                <w:bCs/>
                <w:color w:val="000000"/>
              </w:rPr>
              <w:t>Callender’s</w:t>
            </w:r>
            <w:proofErr w:type="spellEnd"/>
            <w:r w:rsidRPr="005D208D">
              <w:rPr>
                <w:rFonts w:asciiTheme="majorHAnsi" w:hAnsiTheme="majorHAnsi" w:cstheme="majorHAnsi"/>
                <w:b/>
                <w:bCs/>
                <w:color w:val="000000"/>
              </w:rPr>
              <w:t> “Pulse” video series now available: </w:t>
            </w:r>
          </w:p>
          <w:p w14:paraId="1021725E" w14:textId="6D88ADE5" w:rsidR="005D208D" w:rsidRPr="005D208D" w:rsidRDefault="005D208D" w:rsidP="005D208D">
            <w:pPr>
              <w:rPr>
                <w:rFonts w:ascii="Calibri Light" w:hAnsi="Calibri Light" w:cs="Calibri Light"/>
                <w:color w:val="000000"/>
                <w:sz w:val="21"/>
                <w:szCs w:val="21"/>
              </w:rPr>
            </w:pPr>
            <w:r w:rsidRPr="005D208D">
              <w:rPr>
                <w:rFonts w:ascii="Calibri Light" w:hAnsi="Calibri Light" w:cs="Calibri Light"/>
                <w:color w:val="000000"/>
                <w:sz w:val="21"/>
                <w:szCs w:val="21"/>
              </w:rPr>
              <w:t xml:space="preserve">You can view it or read the transcript online at </w:t>
            </w:r>
            <w:hyperlink r:id="rId13" w:history="1">
              <w:r w:rsidRPr="005D208D">
                <w:rPr>
                  <w:rStyle w:val="Hyperlink"/>
                  <w:rFonts w:ascii="Calibri Light" w:hAnsi="Calibri Light" w:cs="Calibri Light"/>
                  <w:color w:val="FF0000"/>
                  <w:sz w:val="21"/>
                  <w:szCs w:val="21"/>
                </w:rPr>
                <w:t>https://www.utmb.edu/president</w:t>
              </w:r>
            </w:hyperlink>
            <w:r w:rsidRPr="005D208D">
              <w:rPr>
                <w:rFonts w:ascii="Calibri Light" w:hAnsi="Calibri Light" w:cs="Calibri Light"/>
                <w:color w:val="000000"/>
                <w:sz w:val="21"/>
                <w:szCs w:val="21"/>
              </w:rPr>
              <w:t xml:space="preserve">. In episode 8, which </w:t>
            </w:r>
            <w:proofErr w:type="gramStart"/>
            <w:r w:rsidRPr="005D208D">
              <w:rPr>
                <w:rFonts w:ascii="Calibri Light" w:hAnsi="Calibri Light" w:cs="Calibri Light"/>
                <w:color w:val="000000"/>
                <w:sz w:val="21"/>
                <w:szCs w:val="21"/>
              </w:rPr>
              <w:t>was recorded</w:t>
            </w:r>
            <w:proofErr w:type="gramEnd"/>
            <w:r w:rsidRPr="005D208D">
              <w:rPr>
                <w:rFonts w:ascii="Calibri Light" w:hAnsi="Calibri Light" w:cs="Calibri Light"/>
                <w:color w:val="000000"/>
                <w:sz w:val="21"/>
                <w:szCs w:val="21"/>
              </w:rPr>
              <w:t xml:space="preserve"> July 25, Dr. </w:t>
            </w:r>
            <w:proofErr w:type="spellStart"/>
            <w:r w:rsidRPr="005D208D">
              <w:rPr>
                <w:rFonts w:ascii="Calibri Light" w:hAnsi="Calibri Light" w:cs="Calibri Light"/>
                <w:color w:val="000000"/>
                <w:sz w:val="21"/>
                <w:szCs w:val="21"/>
              </w:rPr>
              <w:t>Callender</w:t>
            </w:r>
            <w:proofErr w:type="spellEnd"/>
            <w:r w:rsidRPr="005D208D">
              <w:rPr>
                <w:rFonts w:ascii="Calibri Light" w:hAnsi="Calibri Light" w:cs="Calibri Light"/>
                <w:color w:val="000000"/>
                <w:sz w:val="21"/>
                <w:szCs w:val="21"/>
              </w:rPr>
              <w:t> discussed UTMB’s financial results as of June 30. Specifically, he said:</w:t>
            </w:r>
          </w:p>
          <w:p w14:paraId="6E2D4AC6" w14:textId="77777777" w:rsidR="005D208D" w:rsidRPr="005D208D" w:rsidRDefault="005D208D" w:rsidP="005D208D">
            <w:pPr>
              <w:ind w:left="360" w:firstLine="60"/>
              <w:rPr>
                <w:rFonts w:ascii="Calibri Light" w:hAnsi="Calibri Light" w:cs="Calibri Light"/>
                <w:color w:val="000000"/>
                <w:sz w:val="21"/>
                <w:szCs w:val="21"/>
              </w:rPr>
            </w:pPr>
          </w:p>
          <w:p w14:paraId="5A9A8AD5" w14:textId="77777777" w:rsidR="005D208D" w:rsidRPr="005D208D" w:rsidRDefault="005D208D" w:rsidP="005D208D">
            <w:pPr>
              <w:pStyle w:val="ListParagraph"/>
              <w:numPr>
                <w:ilvl w:val="0"/>
                <w:numId w:val="36"/>
              </w:numPr>
              <w:contextualSpacing w:val="0"/>
              <w:rPr>
                <w:rFonts w:ascii="Calibri Light" w:hAnsi="Calibri Light" w:cs="Calibri Light"/>
                <w:color w:val="000000"/>
                <w:sz w:val="21"/>
                <w:szCs w:val="21"/>
              </w:rPr>
            </w:pPr>
            <w:r w:rsidRPr="005D208D">
              <w:rPr>
                <w:rFonts w:ascii="Calibri Light" w:hAnsi="Calibri Light" w:cs="Calibri Light"/>
                <w:color w:val="000000"/>
                <w:sz w:val="21"/>
                <w:szCs w:val="21"/>
              </w:rPr>
              <w:t xml:space="preserve">As of the end of June, UTMB has significantly closed the gap with our budget deficit. </w:t>
            </w:r>
          </w:p>
          <w:p w14:paraId="75CD05C9" w14:textId="77777777" w:rsidR="005D208D" w:rsidRPr="005D208D" w:rsidRDefault="005D208D" w:rsidP="005D208D">
            <w:pPr>
              <w:pStyle w:val="ListParagraph"/>
              <w:numPr>
                <w:ilvl w:val="0"/>
                <w:numId w:val="36"/>
              </w:numPr>
              <w:contextualSpacing w:val="0"/>
              <w:rPr>
                <w:rFonts w:ascii="Calibri Light" w:hAnsi="Calibri Light" w:cs="Calibri Light"/>
                <w:color w:val="000000"/>
                <w:sz w:val="21"/>
                <w:szCs w:val="21"/>
              </w:rPr>
            </w:pPr>
            <w:r w:rsidRPr="005D208D">
              <w:rPr>
                <w:rFonts w:ascii="Calibri Light" w:hAnsi="Calibri Light" w:cs="Calibri Light"/>
                <w:color w:val="000000"/>
                <w:sz w:val="21"/>
                <w:szCs w:val="21"/>
              </w:rPr>
              <w:t xml:space="preserve">Back in January, we were concerned about the direct impact of Hurricane Harvey and the sustained impact in terms of patients not coming for care as they had in the past. At that time, we were predicting as much as a $45-$50 million deficit relative to our planned budget outcomes for the fiscal year. </w:t>
            </w:r>
          </w:p>
          <w:p w14:paraId="5563EC40" w14:textId="77777777" w:rsidR="005D208D" w:rsidRPr="005D208D" w:rsidRDefault="005D208D" w:rsidP="005D208D">
            <w:pPr>
              <w:pStyle w:val="ListParagraph"/>
              <w:numPr>
                <w:ilvl w:val="0"/>
                <w:numId w:val="36"/>
              </w:numPr>
              <w:contextualSpacing w:val="0"/>
              <w:rPr>
                <w:rFonts w:ascii="Calibri Light" w:hAnsi="Calibri Light" w:cs="Calibri Light"/>
                <w:color w:val="000000"/>
                <w:sz w:val="21"/>
                <w:szCs w:val="21"/>
              </w:rPr>
            </w:pPr>
            <w:r w:rsidRPr="005D208D">
              <w:rPr>
                <w:rFonts w:ascii="Calibri Light" w:hAnsi="Calibri Light" w:cs="Calibri Light"/>
                <w:color w:val="000000"/>
                <w:sz w:val="21"/>
                <w:szCs w:val="21"/>
              </w:rPr>
              <w:t xml:space="preserve">Now, because of a lot of hard work, focus on expenses, and changes in patient behavior, </w:t>
            </w:r>
            <w:proofErr w:type="gramStart"/>
            <w:r w:rsidRPr="005D208D">
              <w:rPr>
                <w:rFonts w:ascii="Calibri Light" w:hAnsi="Calibri Light" w:cs="Calibri Light"/>
                <w:color w:val="000000"/>
                <w:sz w:val="21"/>
                <w:szCs w:val="21"/>
              </w:rPr>
              <w:t>we’re</w:t>
            </w:r>
            <w:proofErr w:type="gramEnd"/>
            <w:r w:rsidRPr="005D208D">
              <w:rPr>
                <w:rFonts w:ascii="Calibri Light" w:hAnsi="Calibri Light" w:cs="Calibri Light"/>
                <w:color w:val="000000"/>
                <w:sz w:val="21"/>
                <w:szCs w:val="21"/>
              </w:rPr>
              <w:t xml:space="preserve"> now within about $13.5 million of our planned budget outcome. </w:t>
            </w:r>
          </w:p>
          <w:p w14:paraId="756B3361" w14:textId="77777777" w:rsidR="005D208D" w:rsidRPr="005D208D" w:rsidRDefault="005D208D" w:rsidP="005D208D">
            <w:pPr>
              <w:pStyle w:val="ListParagraph"/>
              <w:numPr>
                <w:ilvl w:val="0"/>
                <w:numId w:val="36"/>
              </w:numPr>
              <w:contextualSpacing w:val="0"/>
              <w:rPr>
                <w:rFonts w:ascii="Calibri Light" w:hAnsi="Calibri Light" w:cs="Calibri Light"/>
                <w:color w:val="000000"/>
                <w:sz w:val="21"/>
                <w:szCs w:val="21"/>
              </w:rPr>
            </w:pPr>
            <w:r w:rsidRPr="005D208D">
              <w:rPr>
                <w:rFonts w:ascii="Calibri Light" w:hAnsi="Calibri Light" w:cs="Calibri Light"/>
                <w:color w:val="000000"/>
                <w:sz w:val="21"/>
                <w:szCs w:val="21"/>
              </w:rPr>
              <w:t xml:space="preserve">The work </w:t>
            </w:r>
            <w:proofErr w:type="gramStart"/>
            <w:r w:rsidRPr="005D208D">
              <w:rPr>
                <w:rFonts w:ascii="Calibri Light" w:hAnsi="Calibri Light" w:cs="Calibri Light"/>
                <w:color w:val="000000"/>
                <w:sz w:val="21"/>
                <w:szCs w:val="21"/>
              </w:rPr>
              <w:t>doesn’t</w:t>
            </w:r>
            <w:proofErr w:type="gramEnd"/>
            <w:r w:rsidRPr="005D208D">
              <w:rPr>
                <w:rFonts w:ascii="Calibri Light" w:hAnsi="Calibri Light" w:cs="Calibri Light"/>
                <w:color w:val="000000"/>
                <w:sz w:val="21"/>
                <w:szCs w:val="21"/>
              </w:rPr>
              <w:t xml:space="preserve"> stop here. We need to continue our hard work, focus on reducing expenses and maintain any positive variances that </w:t>
            </w:r>
            <w:proofErr w:type="gramStart"/>
            <w:r w:rsidRPr="005D208D">
              <w:rPr>
                <w:rFonts w:ascii="Calibri Light" w:hAnsi="Calibri Light" w:cs="Calibri Light"/>
                <w:color w:val="000000"/>
                <w:sz w:val="21"/>
                <w:szCs w:val="21"/>
              </w:rPr>
              <w:t>we’ve</w:t>
            </w:r>
            <w:proofErr w:type="gramEnd"/>
            <w:r w:rsidRPr="005D208D">
              <w:rPr>
                <w:rFonts w:ascii="Calibri Light" w:hAnsi="Calibri Light" w:cs="Calibri Light"/>
                <w:color w:val="000000"/>
                <w:sz w:val="21"/>
                <w:szCs w:val="21"/>
              </w:rPr>
              <w:t xml:space="preserve"> created with regard to planned expenditures. </w:t>
            </w:r>
          </w:p>
          <w:p w14:paraId="35B49D74" w14:textId="08EFF1BD" w:rsidR="00312173" w:rsidRPr="0091691B" w:rsidRDefault="005D208D" w:rsidP="0091691B">
            <w:pPr>
              <w:pStyle w:val="ListParagraph"/>
              <w:numPr>
                <w:ilvl w:val="0"/>
                <w:numId w:val="36"/>
              </w:numPr>
              <w:rPr>
                <w:rFonts w:ascii="Calibri Light" w:hAnsi="Calibri Light" w:cs="Calibri Light"/>
                <w:color w:val="000000"/>
                <w:sz w:val="21"/>
                <w:szCs w:val="21"/>
              </w:rPr>
            </w:pPr>
            <w:r w:rsidRPr="0091691B">
              <w:rPr>
                <w:rFonts w:ascii="Calibri Light" w:hAnsi="Calibri Light" w:cs="Calibri Light"/>
                <w:color w:val="000000"/>
                <w:sz w:val="21"/>
                <w:szCs w:val="21"/>
              </w:rPr>
              <w:t>We also must continue working with our consultants to transform how we work, to ensure the long-term success of our mission.</w:t>
            </w:r>
          </w:p>
          <w:p w14:paraId="4E98462B" w14:textId="3CEB633D" w:rsidR="0091691B" w:rsidRPr="005D208D" w:rsidRDefault="0091691B" w:rsidP="005D208D">
            <w:pPr>
              <w:rPr>
                <w:rFonts w:asciiTheme="majorHAnsi" w:hAnsiTheme="majorHAnsi" w:cstheme="majorHAnsi"/>
                <w:color w:val="000000"/>
                <w:sz w:val="21"/>
                <w:szCs w:val="21"/>
                <w:shd w:val="clear" w:color="auto" w:fill="FFFFFF"/>
              </w:rPr>
            </w:pPr>
          </w:p>
          <w:p w14:paraId="60834D33" w14:textId="77777777" w:rsidR="005D208D" w:rsidRDefault="005D208D" w:rsidP="005D208D">
            <w:pPr>
              <w:spacing w:line="231" w:lineRule="atLeast"/>
              <w:rPr>
                <w:rFonts w:asciiTheme="majorHAnsi" w:hAnsiTheme="majorHAnsi" w:cstheme="majorHAnsi"/>
                <w:b/>
                <w:bCs/>
                <w:color w:val="000000"/>
              </w:rPr>
            </w:pPr>
            <w:r w:rsidRPr="005D208D">
              <w:rPr>
                <w:rFonts w:asciiTheme="majorHAnsi" w:hAnsiTheme="majorHAnsi" w:cstheme="majorHAnsi"/>
                <w:b/>
                <w:bCs/>
                <w:color w:val="000000"/>
              </w:rPr>
              <w:t xml:space="preserve">UTMB names new police chief: </w:t>
            </w:r>
          </w:p>
          <w:p w14:paraId="65C2CB12" w14:textId="678335C3" w:rsidR="005D208D" w:rsidRPr="005D208D" w:rsidRDefault="005D208D" w:rsidP="005D208D">
            <w:pPr>
              <w:spacing w:line="231" w:lineRule="atLeast"/>
              <w:rPr>
                <w:rFonts w:asciiTheme="majorHAnsi" w:hAnsiTheme="majorHAnsi" w:cstheme="majorHAnsi"/>
                <w:b/>
                <w:bCs/>
                <w:color w:val="000000"/>
              </w:rPr>
            </w:pPr>
            <w:proofErr w:type="spellStart"/>
            <w:r w:rsidRPr="005D208D">
              <w:rPr>
                <w:rFonts w:ascii="Calibri Light" w:hAnsi="Calibri Light" w:cs="Calibri Light"/>
                <w:color w:val="000000"/>
                <w:sz w:val="21"/>
                <w:szCs w:val="21"/>
              </w:rPr>
              <w:t>Kenith</w:t>
            </w:r>
            <w:proofErr w:type="spellEnd"/>
            <w:r w:rsidRPr="005D208D">
              <w:rPr>
                <w:rFonts w:ascii="Calibri Light" w:hAnsi="Calibri Light" w:cs="Calibri Light"/>
                <w:color w:val="000000"/>
                <w:sz w:val="21"/>
                <w:szCs w:val="21"/>
              </w:rPr>
              <w:t xml:space="preserve"> </w:t>
            </w:r>
            <w:proofErr w:type="spellStart"/>
            <w:r w:rsidRPr="005D208D">
              <w:rPr>
                <w:rFonts w:ascii="Calibri Light" w:hAnsi="Calibri Light" w:cs="Calibri Light"/>
                <w:color w:val="000000"/>
                <w:sz w:val="21"/>
                <w:szCs w:val="21"/>
              </w:rPr>
              <w:t>Adcox</w:t>
            </w:r>
            <w:proofErr w:type="spellEnd"/>
            <w:r w:rsidRPr="005D208D">
              <w:rPr>
                <w:rFonts w:ascii="Calibri Light" w:hAnsi="Calibri Light" w:cs="Calibri Light"/>
                <w:color w:val="000000"/>
                <w:sz w:val="21"/>
                <w:szCs w:val="21"/>
              </w:rPr>
              <w:t xml:space="preserve">, who has more than 30 years of law enforcement experience and is currently La Porte police chief, </w:t>
            </w:r>
            <w:proofErr w:type="gramStart"/>
            <w:r w:rsidR="00784BDB">
              <w:rPr>
                <w:rFonts w:ascii="Calibri Light" w:hAnsi="Calibri Light" w:cs="Calibri Light"/>
                <w:color w:val="000000"/>
                <w:sz w:val="21"/>
                <w:szCs w:val="21"/>
              </w:rPr>
              <w:t>has been appointed</w:t>
            </w:r>
            <w:proofErr w:type="gramEnd"/>
            <w:r w:rsidR="00784BDB">
              <w:rPr>
                <w:rFonts w:ascii="Calibri Light" w:hAnsi="Calibri Light" w:cs="Calibri Light"/>
                <w:color w:val="000000"/>
                <w:sz w:val="21"/>
                <w:szCs w:val="21"/>
              </w:rPr>
              <w:t xml:space="preserve"> </w:t>
            </w:r>
            <w:r w:rsidRPr="005D208D">
              <w:rPr>
                <w:rFonts w:ascii="Calibri Light" w:hAnsi="Calibri Light" w:cs="Calibri Light"/>
                <w:color w:val="000000"/>
                <w:sz w:val="21"/>
                <w:szCs w:val="21"/>
              </w:rPr>
              <w:t xml:space="preserve">UTMB police chief. </w:t>
            </w:r>
            <w:proofErr w:type="spellStart"/>
            <w:r w:rsidRPr="005D208D">
              <w:rPr>
                <w:rFonts w:ascii="Calibri Light" w:hAnsi="Calibri Light" w:cs="Calibri Light"/>
                <w:color w:val="000000"/>
                <w:sz w:val="21"/>
                <w:szCs w:val="21"/>
              </w:rPr>
              <w:t>Adcox</w:t>
            </w:r>
            <w:proofErr w:type="spellEnd"/>
            <w:r w:rsidRPr="005D208D">
              <w:rPr>
                <w:rFonts w:ascii="Calibri Light" w:hAnsi="Calibri Light" w:cs="Calibri Light"/>
                <w:color w:val="000000"/>
                <w:sz w:val="21"/>
                <w:szCs w:val="21"/>
              </w:rPr>
              <w:t xml:space="preserve">, who has led the La Porte Police Department since 2008, will begin Aug. 13. At UTMB, </w:t>
            </w:r>
            <w:proofErr w:type="spellStart"/>
            <w:r w:rsidRPr="005D208D">
              <w:rPr>
                <w:rFonts w:ascii="Calibri Light" w:hAnsi="Calibri Light" w:cs="Calibri Light"/>
                <w:color w:val="000000"/>
                <w:sz w:val="21"/>
                <w:szCs w:val="21"/>
              </w:rPr>
              <w:t>Adcox</w:t>
            </w:r>
            <w:proofErr w:type="spellEnd"/>
            <w:r w:rsidRPr="005D208D">
              <w:rPr>
                <w:rFonts w:ascii="Calibri Light" w:hAnsi="Calibri Light" w:cs="Calibri Light"/>
                <w:color w:val="000000"/>
                <w:sz w:val="21"/>
                <w:szCs w:val="21"/>
              </w:rPr>
              <w:t xml:space="preserve"> will supervise a department that provides law enforcement services and security to the Galveston, League City and Angleton Danbury campuses, as well as to other UTMB facilities in the region. </w:t>
            </w:r>
            <w:proofErr w:type="spellStart"/>
            <w:r w:rsidRPr="005D208D">
              <w:rPr>
                <w:rFonts w:ascii="Calibri Light" w:hAnsi="Calibri Light" w:cs="Calibri Light"/>
                <w:color w:val="000000"/>
                <w:sz w:val="21"/>
                <w:szCs w:val="21"/>
              </w:rPr>
              <w:t>Adcox</w:t>
            </w:r>
            <w:proofErr w:type="spellEnd"/>
            <w:r w:rsidRPr="005D208D">
              <w:rPr>
                <w:rFonts w:ascii="Calibri Light" w:hAnsi="Calibri Light" w:cs="Calibri Light"/>
                <w:color w:val="000000"/>
                <w:sz w:val="21"/>
                <w:szCs w:val="21"/>
              </w:rPr>
              <w:t xml:space="preserve"> became police chief in La Porte after retiring as assistant police chief from the El Paso Police Department, where he had been for 21 years. He served as assistant police chief in El Paso for a decade. UTMB would also like to thank Ruben Puente, assistant director of the UT System Police Department, who has been serving as UTMB’s interim police chief since January, after the passing of Chief Tom </w:t>
            </w:r>
            <w:proofErr w:type="spellStart"/>
            <w:r w:rsidRPr="005D208D">
              <w:rPr>
                <w:rFonts w:ascii="Calibri Light" w:hAnsi="Calibri Light" w:cs="Calibri Light"/>
                <w:color w:val="000000"/>
                <w:sz w:val="21"/>
                <w:szCs w:val="21"/>
              </w:rPr>
              <w:t>Engells</w:t>
            </w:r>
            <w:proofErr w:type="spellEnd"/>
            <w:r w:rsidRPr="005D208D">
              <w:rPr>
                <w:rFonts w:ascii="Calibri Light" w:hAnsi="Calibri Light" w:cs="Calibri Light"/>
                <w:color w:val="000000"/>
                <w:sz w:val="21"/>
                <w:szCs w:val="21"/>
              </w:rPr>
              <w:t xml:space="preserve">. For more information, visit </w:t>
            </w:r>
            <w:hyperlink r:id="rId14" w:history="1">
              <w:r w:rsidRPr="005D208D">
                <w:rPr>
                  <w:rStyle w:val="Hyperlink"/>
                  <w:rFonts w:ascii="Calibri Light" w:hAnsi="Calibri Light" w:cs="Calibri Light"/>
                  <w:sz w:val="21"/>
                  <w:szCs w:val="21"/>
                </w:rPr>
                <w:t>https://www.utmb.edu/newsroom/</w:t>
              </w:r>
            </w:hyperlink>
            <w:r w:rsidRPr="005D208D">
              <w:rPr>
                <w:rFonts w:ascii="Calibri Light" w:hAnsi="Calibri Light" w:cs="Calibri Light"/>
                <w:color w:val="000000"/>
                <w:sz w:val="21"/>
                <w:szCs w:val="21"/>
              </w:rPr>
              <w:t>.</w:t>
            </w:r>
          </w:p>
          <w:p w14:paraId="6D0C82BA" w14:textId="77777777" w:rsidR="00312173" w:rsidRDefault="00312173" w:rsidP="00312173">
            <w:pPr>
              <w:rPr>
                <w:rFonts w:ascii="Calibri Light" w:hAnsi="Calibri Light" w:cs="Calibri Light"/>
                <w:color w:val="000000"/>
                <w:sz w:val="21"/>
                <w:szCs w:val="21"/>
                <w:shd w:val="clear" w:color="auto" w:fill="FFFFFF"/>
              </w:rPr>
            </w:pPr>
          </w:p>
          <w:p w14:paraId="24C585DC" w14:textId="77777777" w:rsidR="005D208D" w:rsidRDefault="005D208D" w:rsidP="005D208D">
            <w:pPr>
              <w:spacing w:before="240" w:after="240" w:line="264" w:lineRule="auto"/>
              <w:rPr>
                <w:rFonts w:asciiTheme="majorHAnsi" w:hAnsiTheme="majorHAnsi" w:cstheme="majorHAnsi"/>
                <w:b/>
                <w:bCs/>
                <w:color w:val="000000"/>
                <w:sz w:val="21"/>
                <w:szCs w:val="21"/>
              </w:rPr>
            </w:pPr>
          </w:p>
          <w:p w14:paraId="31E8295F" w14:textId="77777777" w:rsidR="005D208D" w:rsidRDefault="005D208D" w:rsidP="005D208D">
            <w:pPr>
              <w:spacing w:before="240" w:after="240" w:line="264" w:lineRule="auto"/>
              <w:rPr>
                <w:rFonts w:asciiTheme="majorHAnsi" w:hAnsiTheme="majorHAnsi" w:cstheme="majorHAnsi"/>
                <w:b/>
                <w:bCs/>
                <w:color w:val="000000"/>
                <w:sz w:val="21"/>
                <w:szCs w:val="21"/>
              </w:rPr>
            </w:pPr>
          </w:p>
          <w:p w14:paraId="25CD861B" w14:textId="70F86634" w:rsidR="005D208D" w:rsidRPr="005D208D" w:rsidRDefault="005D208D" w:rsidP="005D208D">
            <w:pPr>
              <w:spacing w:before="240" w:line="264" w:lineRule="auto"/>
              <w:rPr>
                <w:rFonts w:asciiTheme="majorHAnsi" w:hAnsiTheme="majorHAnsi" w:cstheme="majorHAnsi"/>
                <w:color w:val="000000"/>
              </w:rPr>
            </w:pPr>
            <w:r w:rsidRPr="005D208D">
              <w:rPr>
                <w:rFonts w:asciiTheme="majorHAnsi" w:hAnsiTheme="majorHAnsi" w:cstheme="majorHAnsi"/>
                <w:b/>
                <w:bCs/>
                <w:color w:val="000000"/>
              </w:rPr>
              <w:lastRenderedPageBreak/>
              <w:t>UTMB Health recognized as a Baby-Friendly birth facility</w:t>
            </w:r>
            <w:r w:rsidRPr="005D208D">
              <w:rPr>
                <w:rFonts w:asciiTheme="majorHAnsi" w:hAnsiTheme="majorHAnsi" w:cstheme="majorHAnsi"/>
                <w:color w:val="000000"/>
              </w:rPr>
              <w:t xml:space="preserve">: </w:t>
            </w:r>
            <w:r w:rsidRPr="005D208D">
              <w:rPr>
                <w:rFonts w:ascii="Calibri Light" w:hAnsi="Calibri Light" w:cs="Calibri Light"/>
                <w:sz w:val="21"/>
                <w:szCs w:val="21"/>
              </w:rPr>
              <w:t>UTMB has received prestigious recognition as a designated Baby-Friendly birth facility by Baby-Friendly USA, Inc. UTMB achieved the coveted status by providing mothers with the information, confidence and skills necessary to successfully initiate and continue breastfeeding their babies, based on the Ten Steps to Successful Breastfeeding. There are more than 20,000 designated Baby-Friendly hospitals and birth centers worldwide.</w:t>
            </w:r>
            <w:r w:rsidRPr="005D208D">
              <w:rPr>
                <w:rFonts w:asciiTheme="majorHAnsi" w:hAnsiTheme="majorHAnsi" w:cstheme="majorHAnsi"/>
                <w:sz w:val="21"/>
                <w:szCs w:val="21"/>
              </w:rPr>
              <w:t xml:space="preserve"> </w:t>
            </w:r>
          </w:p>
          <w:p w14:paraId="4BE17E8E" w14:textId="77777777" w:rsidR="005D208D" w:rsidRDefault="005D208D" w:rsidP="00312173">
            <w:pPr>
              <w:rPr>
                <w:rFonts w:ascii="Calibri Light" w:hAnsi="Calibri Light" w:cs="Calibri Light"/>
                <w:color w:val="000000"/>
                <w:sz w:val="21"/>
                <w:szCs w:val="21"/>
                <w:shd w:val="clear" w:color="auto" w:fill="FFFFFF"/>
              </w:rPr>
            </w:pPr>
          </w:p>
          <w:p w14:paraId="290BE33A" w14:textId="77777777" w:rsidR="005D208D" w:rsidRDefault="005D208D" w:rsidP="005D208D">
            <w:pPr>
              <w:rPr>
                <w:rFonts w:asciiTheme="majorHAnsi" w:hAnsiTheme="majorHAnsi" w:cstheme="majorHAnsi"/>
                <w:b/>
                <w:bCs/>
                <w:color w:val="000000"/>
              </w:rPr>
            </w:pPr>
            <w:r w:rsidRPr="005D208D">
              <w:rPr>
                <w:rFonts w:asciiTheme="majorHAnsi" w:hAnsiTheme="majorHAnsi" w:cstheme="majorHAnsi"/>
                <w:b/>
                <w:bCs/>
                <w:color w:val="000000"/>
              </w:rPr>
              <w:t xml:space="preserve">Temporary closure to John Sealy Hospital circle drive and walkway: </w:t>
            </w:r>
          </w:p>
          <w:p w14:paraId="0233BE0A" w14:textId="2E839C7C" w:rsidR="005D208D" w:rsidRDefault="005D208D" w:rsidP="00312173">
            <w:pPr>
              <w:rPr>
                <w:rFonts w:ascii="Calibri Light" w:hAnsi="Calibri Light" w:cs="Calibri Light"/>
                <w:color w:val="000000"/>
                <w:sz w:val="21"/>
                <w:szCs w:val="21"/>
              </w:rPr>
            </w:pPr>
            <w:r w:rsidRPr="005D208D">
              <w:rPr>
                <w:rFonts w:ascii="Calibri Light" w:hAnsi="Calibri Light" w:cs="Calibri Light"/>
                <w:color w:val="000000"/>
                <w:sz w:val="21"/>
                <w:szCs w:val="21"/>
              </w:rPr>
              <w:t>Please be advised and communicate with UTMB patients and visitors that the circle drive and the east/west covered walkway in front of John Sealy Hospital</w:t>
            </w:r>
            <w:r w:rsidR="0046444C">
              <w:rPr>
                <w:rFonts w:ascii="Calibri Light" w:hAnsi="Calibri Light" w:cs="Calibri Light"/>
                <w:color w:val="000000"/>
                <w:sz w:val="21"/>
                <w:szCs w:val="21"/>
              </w:rPr>
              <w:t xml:space="preserve"> on the Galveston Campus</w:t>
            </w:r>
            <w:r w:rsidRPr="005D208D">
              <w:rPr>
                <w:rFonts w:ascii="Calibri Light" w:hAnsi="Calibri Light" w:cs="Calibri Light"/>
                <w:color w:val="000000"/>
                <w:sz w:val="21"/>
                <w:szCs w:val="21"/>
              </w:rPr>
              <w:t xml:space="preserve"> </w:t>
            </w:r>
            <w:proofErr w:type="gramStart"/>
            <w:r w:rsidRPr="005D208D">
              <w:rPr>
                <w:rFonts w:ascii="Calibri Light" w:hAnsi="Calibri Light" w:cs="Calibri Light"/>
                <w:color w:val="000000"/>
                <w:sz w:val="21"/>
                <w:szCs w:val="21"/>
              </w:rPr>
              <w:t>will be closed</w:t>
            </w:r>
            <w:proofErr w:type="gramEnd"/>
            <w:r w:rsidRPr="005D208D">
              <w:rPr>
                <w:rFonts w:ascii="Calibri Light" w:hAnsi="Calibri Light" w:cs="Calibri Light"/>
                <w:color w:val="000000"/>
                <w:sz w:val="21"/>
                <w:szCs w:val="21"/>
              </w:rPr>
              <w:t xml:space="preserve"> on Aug. 11 and possibly Aug. 12. The closure will start at 4 a.m. on Saturday and run as late as 8 p.m.; the closure will only extend to Sunday if necessary. The closure will take place in order to set up a large crane that will lift new air handlers into the hospital. The front door of the hospital will remain open during this closure.</w:t>
            </w:r>
          </w:p>
          <w:p w14:paraId="3819B6B9" w14:textId="77777777" w:rsidR="005D208D" w:rsidRDefault="005D208D" w:rsidP="00312173">
            <w:pPr>
              <w:rPr>
                <w:rFonts w:ascii="Calibri Light" w:hAnsi="Calibri Light" w:cs="Calibri Light"/>
                <w:color w:val="000000"/>
                <w:sz w:val="21"/>
                <w:szCs w:val="21"/>
              </w:rPr>
            </w:pPr>
          </w:p>
          <w:p w14:paraId="050E64B7" w14:textId="77777777" w:rsidR="005D208D" w:rsidRPr="005D208D" w:rsidRDefault="005D208D" w:rsidP="005D208D">
            <w:pPr>
              <w:rPr>
                <w:rFonts w:asciiTheme="majorHAnsi" w:hAnsiTheme="majorHAnsi" w:cstheme="majorHAnsi"/>
                <w:color w:val="000000"/>
              </w:rPr>
            </w:pPr>
            <w:proofErr w:type="spellStart"/>
            <w:r w:rsidRPr="005D208D">
              <w:rPr>
                <w:rFonts w:asciiTheme="majorHAnsi" w:hAnsiTheme="majorHAnsi" w:cstheme="majorHAnsi"/>
                <w:b/>
                <w:bCs/>
                <w:color w:val="000000"/>
              </w:rPr>
              <w:t>iUTMB</w:t>
            </w:r>
            <w:proofErr w:type="spellEnd"/>
            <w:r w:rsidRPr="005D208D">
              <w:rPr>
                <w:rFonts w:asciiTheme="majorHAnsi" w:hAnsiTheme="majorHAnsi" w:cstheme="majorHAnsi"/>
                <w:b/>
                <w:bCs/>
                <w:color w:val="000000"/>
              </w:rPr>
              <w:t xml:space="preserve"> officially intranet only</w:t>
            </w:r>
            <w:r w:rsidRPr="005D208D">
              <w:rPr>
                <w:rFonts w:asciiTheme="majorHAnsi" w:hAnsiTheme="majorHAnsi" w:cstheme="majorHAnsi"/>
                <w:color w:val="000000"/>
              </w:rPr>
              <w:t xml:space="preserve">: </w:t>
            </w:r>
          </w:p>
          <w:p w14:paraId="2E3D737C" w14:textId="0A171AF7" w:rsidR="005D208D" w:rsidRPr="005D208D" w:rsidRDefault="005D208D" w:rsidP="005D208D">
            <w:pPr>
              <w:rPr>
                <w:rFonts w:ascii="Calibri Light" w:hAnsi="Calibri Light" w:cs="Calibri Light"/>
                <w:color w:val="000000"/>
                <w:sz w:val="21"/>
                <w:szCs w:val="21"/>
              </w:rPr>
            </w:pPr>
            <w:proofErr w:type="spellStart"/>
            <w:proofErr w:type="gramStart"/>
            <w:r w:rsidRPr="005D208D">
              <w:rPr>
                <w:rFonts w:ascii="Calibri Light" w:hAnsi="Calibri Light" w:cs="Calibri Light"/>
                <w:color w:val="000000"/>
                <w:sz w:val="21"/>
                <w:szCs w:val="21"/>
              </w:rPr>
              <w:t>iUTMB</w:t>
            </w:r>
            <w:proofErr w:type="spellEnd"/>
            <w:proofErr w:type="gramEnd"/>
            <w:r w:rsidRPr="005D208D">
              <w:rPr>
                <w:rFonts w:ascii="Calibri Light" w:hAnsi="Calibri Light" w:cs="Calibri Light"/>
                <w:color w:val="000000"/>
                <w:sz w:val="21"/>
                <w:szCs w:val="21"/>
              </w:rPr>
              <w:t>, the internal home page for faculty and staff</w:t>
            </w:r>
            <w:r w:rsidR="0056700E">
              <w:rPr>
                <w:rFonts w:ascii="Calibri Light" w:hAnsi="Calibri Light" w:cs="Calibri Light"/>
                <w:color w:val="000000"/>
                <w:sz w:val="21"/>
                <w:szCs w:val="21"/>
              </w:rPr>
              <w:t>,</w:t>
            </w:r>
            <w:r w:rsidRPr="005D208D">
              <w:rPr>
                <w:rFonts w:ascii="Calibri Light" w:hAnsi="Calibri Light" w:cs="Calibri Light"/>
                <w:color w:val="000000"/>
                <w:sz w:val="21"/>
                <w:szCs w:val="21"/>
              </w:rPr>
              <w:t xml:space="preserve"> is now intranet only. Full access to </w:t>
            </w:r>
            <w:proofErr w:type="spellStart"/>
            <w:r w:rsidRPr="005D208D">
              <w:rPr>
                <w:rFonts w:ascii="Calibri Light" w:hAnsi="Calibri Light" w:cs="Calibri Light"/>
                <w:color w:val="000000"/>
                <w:sz w:val="21"/>
                <w:szCs w:val="21"/>
              </w:rPr>
              <w:t>iUTMB</w:t>
            </w:r>
            <w:proofErr w:type="spellEnd"/>
            <w:r w:rsidRPr="005D208D">
              <w:rPr>
                <w:rFonts w:ascii="Calibri Light" w:hAnsi="Calibri Light" w:cs="Calibri Light"/>
                <w:color w:val="000000"/>
                <w:sz w:val="21"/>
                <w:szCs w:val="21"/>
              </w:rPr>
              <w:t xml:space="preserve"> requires visitors to be inside the UTMB private network, either located physically in a networked UTMB facility or logged-in via VPN. For more information, visit </w:t>
            </w:r>
            <w:hyperlink r:id="rId15" w:history="1">
              <w:r w:rsidRPr="005D208D">
                <w:rPr>
                  <w:rStyle w:val="Hyperlink"/>
                  <w:rFonts w:ascii="Calibri Light" w:hAnsi="Calibri Light" w:cs="Calibri Light"/>
                  <w:sz w:val="21"/>
                  <w:szCs w:val="21"/>
                </w:rPr>
                <w:t>https://www.utmb.edu/iutmb</w:t>
              </w:r>
            </w:hyperlink>
            <w:r w:rsidRPr="005D208D">
              <w:rPr>
                <w:rFonts w:ascii="Calibri Light" w:hAnsi="Calibri Light" w:cs="Calibri Light"/>
                <w:color w:val="000000"/>
                <w:sz w:val="21"/>
                <w:szCs w:val="21"/>
              </w:rPr>
              <w:t>.</w:t>
            </w:r>
          </w:p>
          <w:p w14:paraId="3EA73BAA" w14:textId="77777777" w:rsidR="005D208D" w:rsidRDefault="005D208D" w:rsidP="00312173">
            <w:pPr>
              <w:rPr>
                <w:rFonts w:ascii="Calibri Light" w:hAnsi="Calibri Light" w:cs="Calibri Light"/>
                <w:color w:val="000000"/>
                <w:sz w:val="21"/>
                <w:szCs w:val="21"/>
              </w:rPr>
            </w:pPr>
          </w:p>
          <w:p w14:paraId="01200C5A" w14:textId="77777777" w:rsidR="005D208D" w:rsidRPr="005D208D" w:rsidRDefault="005D208D" w:rsidP="005D208D">
            <w:pPr>
              <w:rPr>
                <w:rFonts w:ascii="Calibri Light" w:hAnsi="Calibri Light" w:cs="Calibri Light"/>
                <w:color w:val="000000"/>
              </w:rPr>
            </w:pPr>
            <w:proofErr w:type="spellStart"/>
            <w:r w:rsidRPr="005D208D">
              <w:rPr>
                <w:rFonts w:ascii="Calibri Light" w:hAnsi="Calibri Light" w:cs="Calibri Light"/>
                <w:b/>
                <w:bCs/>
                <w:color w:val="000000"/>
              </w:rPr>
              <w:t>Suman</w:t>
            </w:r>
            <w:proofErr w:type="spellEnd"/>
            <w:r w:rsidRPr="005D208D">
              <w:rPr>
                <w:rFonts w:ascii="Calibri Light" w:hAnsi="Calibri Light" w:cs="Calibri Light"/>
                <w:b/>
                <w:bCs/>
                <w:color w:val="000000"/>
              </w:rPr>
              <w:t xml:space="preserve"> receives NIH MERIT Award</w:t>
            </w:r>
            <w:r w:rsidRPr="005D208D">
              <w:rPr>
                <w:rFonts w:ascii="Calibri Light" w:hAnsi="Calibri Light" w:cs="Calibri Light"/>
                <w:color w:val="000000"/>
              </w:rPr>
              <w:t>:</w:t>
            </w:r>
          </w:p>
          <w:p w14:paraId="45A54AD9" w14:textId="3D75A9FF" w:rsidR="005D208D" w:rsidRPr="005D208D" w:rsidRDefault="005D208D" w:rsidP="005D208D">
            <w:pPr>
              <w:rPr>
                <w:rFonts w:ascii="Calibri Light" w:hAnsi="Calibri Light" w:cs="Calibri Light"/>
                <w:color w:val="000000"/>
                <w:sz w:val="21"/>
                <w:szCs w:val="21"/>
              </w:rPr>
            </w:pPr>
            <w:r w:rsidRPr="005D208D">
              <w:rPr>
                <w:rFonts w:ascii="Calibri Light" w:hAnsi="Calibri Light" w:cs="Calibri Light"/>
                <w:color w:val="000000"/>
                <w:sz w:val="21"/>
                <w:szCs w:val="21"/>
              </w:rPr>
              <w:t xml:space="preserve">Dr. Oscar </w:t>
            </w:r>
            <w:proofErr w:type="spellStart"/>
            <w:r w:rsidRPr="005D208D">
              <w:rPr>
                <w:rFonts w:ascii="Calibri Light" w:hAnsi="Calibri Light" w:cs="Calibri Light"/>
                <w:color w:val="000000"/>
                <w:sz w:val="21"/>
                <w:szCs w:val="21"/>
              </w:rPr>
              <w:t>Suman</w:t>
            </w:r>
            <w:proofErr w:type="spellEnd"/>
            <w:r w:rsidRPr="005D208D">
              <w:rPr>
                <w:rFonts w:ascii="Calibri Light" w:hAnsi="Calibri Light" w:cs="Calibri Light"/>
                <w:color w:val="000000"/>
                <w:sz w:val="21"/>
                <w:szCs w:val="21"/>
              </w:rPr>
              <w:t xml:space="preserve">, the Leon Hess Professor for Burn Injuries Research, and director of Shriners Hospitals for Children – Galveston’s </w:t>
            </w:r>
            <w:proofErr w:type="gramStart"/>
            <w:r w:rsidRPr="005D208D">
              <w:rPr>
                <w:rFonts w:ascii="Calibri Light" w:hAnsi="Calibri Light" w:cs="Calibri Light"/>
                <w:color w:val="000000"/>
                <w:sz w:val="21"/>
                <w:szCs w:val="21"/>
              </w:rPr>
              <w:t>Children’s</w:t>
            </w:r>
            <w:proofErr w:type="gramEnd"/>
            <w:r w:rsidRPr="005D208D">
              <w:rPr>
                <w:rFonts w:ascii="Calibri Light" w:hAnsi="Calibri Light" w:cs="Calibri Light"/>
                <w:color w:val="000000"/>
                <w:sz w:val="21"/>
                <w:szCs w:val="21"/>
              </w:rPr>
              <w:t xml:space="preserve"> Wellness Center, is the recipient of a National Institutes of Health (NIH) MERIT Award, a prestigious award provided to only the most outstanding scientists supported by the institute. This award will support </w:t>
            </w:r>
            <w:proofErr w:type="spellStart"/>
            <w:r w:rsidRPr="005D208D">
              <w:rPr>
                <w:rFonts w:ascii="Calibri Light" w:hAnsi="Calibri Light" w:cs="Calibri Light"/>
                <w:color w:val="000000"/>
                <w:sz w:val="21"/>
                <w:szCs w:val="21"/>
              </w:rPr>
              <w:t>Suman’s</w:t>
            </w:r>
            <w:proofErr w:type="spellEnd"/>
            <w:r w:rsidRPr="005D208D">
              <w:rPr>
                <w:rFonts w:ascii="Calibri Light" w:hAnsi="Calibri Light" w:cs="Calibri Light"/>
                <w:color w:val="000000"/>
                <w:sz w:val="21"/>
                <w:szCs w:val="21"/>
              </w:rPr>
              <w:t xml:space="preserve"> research for five years, with the opportunity for extension for an additional five years, based on progress.</w:t>
            </w:r>
          </w:p>
          <w:p w14:paraId="130F68DD" w14:textId="77777777" w:rsidR="005D208D" w:rsidRDefault="005D208D" w:rsidP="00312173">
            <w:pPr>
              <w:rPr>
                <w:rFonts w:ascii="Calibri Light" w:hAnsi="Calibri Light" w:cs="Calibri Light"/>
                <w:color w:val="000000"/>
                <w:sz w:val="21"/>
                <w:szCs w:val="21"/>
              </w:rPr>
            </w:pPr>
          </w:p>
          <w:p w14:paraId="79430C9E" w14:textId="77777777" w:rsidR="005D208D" w:rsidRPr="005D208D" w:rsidRDefault="005D208D" w:rsidP="005D208D">
            <w:pPr>
              <w:rPr>
                <w:rFonts w:asciiTheme="majorHAnsi" w:hAnsiTheme="majorHAnsi" w:cstheme="majorHAnsi"/>
                <w:color w:val="000000"/>
              </w:rPr>
            </w:pPr>
            <w:r w:rsidRPr="005D208D">
              <w:rPr>
                <w:rFonts w:asciiTheme="majorHAnsi" w:hAnsiTheme="majorHAnsi" w:cstheme="majorHAnsi"/>
                <w:b/>
                <w:bCs/>
                <w:color w:val="000000"/>
              </w:rPr>
              <w:t>EAC results are in:</w:t>
            </w:r>
            <w:r w:rsidRPr="005D208D">
              <w:rPr>
                <w:rFonts w:asciiTheme="majorHAnsi" w:hAnsiTheme="majorHAnsi" w:cstheme="majorHAnsi"/>
                <w:color w:val="000000"/>
              </w:rPr>
              <w:t> </w:t>
            </w:r>
          </w:p>
          <w:p w14:paraId="7C13D95F" w14:textId="025E5DD9" w:rsidR="005D208D" w:rsidRPr="005D208D" w:rsidRDefault="005D208D" w:rsidP="005D208D">
            <w:pPr>
              <w:rPr>
                <w:rFonts w:ascii="Calibri Light" w:hAnsi="Calibri Light" w:cs="Calibri Light"/>
                <w:sz w:val="21"/>
                <w:szCs w:val="21"/>
              </w:rPr>
            </w:pPr>
            <w:r w:rsidRPr="005D208D">
              <w:rPr>
                <w:rFonts w:ascii="Calibri Light" w:hAnsi="Calibri Light" w:cs="Calibri Light"/>
                <w:color w:val="000000"/>
                <w:sz w:val="21"/>
                <w:szCs w:val="21"/>
              </w:rPr>
              <w:t>Congratulations to the newly elected Employee Advisory Council Members: </w:t>
            </w:r>
            <w:r w:rsidRPr="005D208D">
              <w:rPr>
                <w:rFonts w:ascii="Calibri Light" w:hAnsi="Calibri Light" w:cs="Calibri Light"/>
                <w:b/>
                <w:bCs/>
                <w:color w:val="000000"/>
                <w:sz w:val="21"/>
                <w:szCs w:val="21"/>
              </w:rPr>
              <w:t>Beth Schilling</w:t>
            </w:r>
            <w:r w:rsidRPr="005D208D">
              <w:rPr>
                <w:rFonts w:ascii="Calibri Light" w:hAnsi="Calibri Light" w:cs="Calibri Light"/>
                <w:color w:val="000000"/>
                <w:sz w:val="21"/>
                <w:szCs w:val="21"/>
              </w:rPr>
              <w:t>, business systems analyst for Research Services (representing Academic Enterprise);</w:t>
            </w:r>
            <w:r w:rsidRPr="005D208D">
              <w:rPr>
                <w:rFonts w:ascii="Calibri Light" w:hAnsi="Calibri Light" w:cs="Calibri Light"/>
                <w:b/>
                <w:bCs/>
                <w:color w:val="000000"/>
                <w:sz w:val="21"/>
                <w:szCs w:val="21"/>
              </w:rPr>
              <w:t>Richard Oliver</w:t>
            </w:r>
            <w:r w:rsidRPr="005D208D">
              <w:rPr>
                <w:rFonts w:ascii="Calibri Light" w:hAnsi="Calibri Light" w:cs="Calibri Light"/>
                <w:color w:val="000000"/>
                <w:sz w:val="21"/>
                <w:szCs w:val="21"/>
              </w:rPr>
              <w:t>, mental health case manager at the Texas Department of Criminal Justice Hodge facility (representing Correctional Managed Care); and </w:t>
            </w:r>
            <w:r w:rsidRPr="005D208D">
              <w:rPr>
                <w:rFonts w:ascii="Calibri Light" w:hAnsi="Calibri Light" w:cs="Calibri Light"/>
                <w:b/>
                <w:bCs/>
                <w:color w:val="000000"/>
                <w:sz w:val="21"/>
                <w:szCs w:val="21"/>
              </w:rPr>
              <w:t>Kathryn Davis</w:t>
            </w:r>
            <w:r w:rsidRPr="005D208D">
              <w:rPr>
                <w:rFonts w:ascii="Calibri Light" w:hAnsi="Calibri Light" w:cs="Calibri Light"/>
                <w:color w:val="000000"/>
                <w:sz w:val="21"/>
                <w:szCs w:val="21"/>
              </w:rPr>
              <w:t>, outpatient nurse manager for Women’s Specialty Care in League City (representing Hospital and Clinics). </w:t>
            </w:r>
            <w:r w:rsidRPr="005D208D">
              <w:rPr>
                <w:rFonts w:ascii="Calibri Light" w:hAnsi="Calibri Light" w:cs="Calibri Light"/>
                <w:b/>
                <w:bCs/>
                <w:color w:val="000000"/>
                <w:sz w:val="21"/>
                <w:szCs w:val="21"/>
              </w:rPr>
              <w:t>Tilly Clark</w:t>
            </w:r>
            <w:r w:rsidRPr="005D208D">
              <w:rPr>
                <w:rFonts w:ascii="Calibri Light" w:hAnsi="Calibri Light" w:cs="Calibri Light"/>
                <w:color w:val="000000"/>
                <w:sz w:val="21"/>
                <w:szCs w:val="21"/>
              </w:rPr>
              <w:t>, assistant director of Special Use Facilities and the current EAC chair, was re-elected to her position representing Institutional Support. In addition, </w:t>
            </w:r>
            <w:proofErr w:type="spellStart"/>
            <w:r w:rsidRPr="005D208D">
              <w:rPr>
                <w:rFonts w:ascii="Calibri Light" w:hAnsi="Calibri Light" w:cs="Calibri Light"/>
                <w:b/>
                <w:bCs/>
                <w:color w:val="000000"/>
                <w:sz w:val="21"/>
                <w:szCs w:val="21"/>
              </w:rPr>
              <w:t>Jeanna</w:t>
            </w:r>
            <w:proofErr w:type="spellEnd"/>
            <w:r w:rsidRPr="005D208D">
              <w:rPr>
                <w:rFonts w:ascii="Calibri Light" w:hAnsi="Calibri Light" w:cs="Calibri Light"/>
                <w:b/>
                <w:bCs/>
                <w:color w:val="000000"/>
                <w:sz w:val="21"/>
                <w:szCs w:val="21"/>
              </w:rPr>
              <w:t xml:space="preserve"> </w:t>
            </w:r>
            <w:proofErr w:type="spellStart"/>
            <w:r w:rsidRPr="005D208D">
              <w:rPr>
                <w:rFonts w:ascii="Calibri Light" w:hAnsi="Calibri Light" w:cs="Calibri Light"/>
                <w:b/>
                <w:bCs/>
                <w:color w:val="000000"/>
                <w:sz w:val="21"/>
                <w:szCs w:val="21"/>
              </w:rPr>
              <w:t>Crookshanks</w:t>
            </w:r>
            <w:proofErr w:type="spellEnd"/>
            <w:r w:rsidRPr="005D208D">
              <w:rPr>
                <w:rFonts w:ascii="Calibri Light" w:hAnsi="Calibri Light" w:cs="Calibri Light"/>
                <w:b/>
                <w:bCs/>
                <w:color w:val="000000"/>
                <w:sz w:val="21"/>
                <w:szCs w:val="21"/>
              </w:rPr>
              <w:t xml:space="preserve"> Leek</w:t>
            </w:r>
            <w:r w:rsidRPr="005D208D">
              <w:rPr>
                <w:rFonts w:ascii="Calibri Light" w:hAnsi="Calibri Light" w:cs="Calibri Light"/>
                <w:color w:val="000000"/>
                <w:sz w:val="21"/>
                <w:szCs w:val="21"/>
              </w:rPr>
              <w:t>, senior quality assurance analyst in the Office of Regulated Nonclinical Studies, finished runner-up in voting for the Academic Enterprise and has agreed to fill the remaining term of </w:t>
            </w:r>
            <w:r w:rsidRPr="005D208D">
              <w:rPr>
                <w:rFonts w:ascii="Calibri Light" w:hAnsi="Calibri Light" w:cs="Calibri Light"/>
                <w:b/>
                <w:bCs/>
                <w:color w:val="000000"/>
                <w:sz w:val="21"/>
                <w:szCs w:val="21"/>
              </w:rPr>
              <w:t xml:space="preserve">Kelley </w:t>
            </w:r>
            <w:proofErr w:type="spellStart"/>
            <w:r w:rsidRPr="005D208D">
              <w:rPr>
                <w:rFonts w:ascii="Calibri Light" w:hAnsi="Calibri Light" w:cs="Calibri Light"/>
                <w:b/>
                <w:bCs/>
                <w:color w:val="000000"/>
                <w:sz w:val="21"/>
                <w:szCs w:val="21"/>
              </w:rPr>
              <w:t>Prevou</w:t>
            </w:r>
            <w:proofErr w:type="spellEnd"/>
            <w:r w:rsidRPr="005D208D">
              <w:rPr>
                <w:rFonts w:ascii="Calibri Light" w:hAnsi="Calibri Light" w:cs="Calibri Light"/>
                <w:color w:val="000000"/>
                <w:sz w:val="21"/>
                <w:szCs w:val="21"/>
              </w:rPr>
              <w:t>, who recently stepped down from her role on the council. Many thanks to outgoing EAC reps for a job well done: </w:t>
            </w:r>
            <w:r w:rsidRPr="005D208D">
              <w:rPr>
                <w:rFonts w:ascii="Calibri Light" w:hAnsi="Calibri Light" w:cs="Calibri Light"/>
                <w:b/>
                <w:bCs/>
                <w:color w:val="000000"/>
                <w:sz w:val="21"/>
                <w:szCs w:val="21"/>
              </w:rPr>
              <w:t>Dawn Meyer </w:t>
            </w:r>
            <w:r w:rsidRPr="005D208D">
              <w:rPr>
                <w:rFonts w:ascii="Calibri Light" w:hAnsi="Calibri Light" w:cs="Calibri Light"/>
                <w:color w:val="000000"/>
                <w:sz w:val="21"/>
                <w:szCs w:val="21"/>
              </w:rPr>
              <w:t>(Health System), </w:t>
            </w:r>
            <w:r w:rsidRPr="005D208D">
              <w:rPr>
                <w:rFonts w:ascii="Calibri Light" w:hAnsi="Calibri Light" w:cs="Calibri Light"/>
                <w:b/>
                <w:bCs/>
                <w:color w:val="000000"/>
                <w:sz w:val="21"/>
                <w:szCs w:val="21"/>
              </w:rPr>
              <w:t>Madonna Wyatt</w:t>
            </w:r>
            <w:r w:rsidRPr="005D208D">
              <w:rPr>
                <w:rFonts w:ascii="Calibri Light" w:hAnsi="Calibri Light" w:cs="Calibri Light"/>
                <w:color w:val="000000"/>
                <w:sz w:val="21"/>
                <w:szCs w:val="21"/>
              </w:rPr>
              <w:t> (CMC) and </w:t>
            </w:r>
            <w:r w:rsidRPr="005D208D">
              <w:rPr>
                <w:rFonts w:ascii="Calibri Light" w:hAnsi="Calibri Light" w:cs="Calibri Light"/>
                <w:b/>
                <w:bCs/>
                <w:color w:val="000000"/>
                <w:sz w:val="21"/>
                <w:szCs w:val="21"/>
              </w:rPr>
              <w:t>Jennifer Anderson</w:t>
            </w:r>
            <w:r w:rsidRPr="005D208D">
              <w:rPr>
                <w:rFonts w:ascii="Calibri Light" w:hAnsi="Calibri Light" w:cs="Calibri Light"/>
                <w:color w:val="000000"/>
                <w:sz w:val="21"/>
                <w:szCs w:val="21"/>
              </w:rPr>
              <w:t> (Academic Enterprise).</w:t>
            </w:r>
          </w:p>
          <w:p w14:paraId="33D5B003" w14:textId="788B4CD4" w:rsidR="005D208D" w:rsidRPr="005D208D" w:rsidRDefault="005D208D" w:rsidP="00312173">
            <w:pPr>
              <w:rPr>
                <w:rFonts w:ascii="Calibri Light" w:hAnsi="Calibri Light" w:cs="Calibri Light"/>
                <w:color w:val="000000"/>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7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3"/>
        </w:trPr>
        <w:tc>
          <w:tcPr>
            <w:tcW w:w="5130" w:type="dxa"/>
            <w:gridSpan w:val="3"/>
            <w:vMerge w:val="restart"/>
            <w:tcBorders>
              <w:top w:val="single" w:sz="8" w:space="0" w:color="auto"/>
              <w:left w:val="single" w:sz="8" w:space="0" w:color="auto"/>
              <w:right w:val="single" w:sz="4" w:space="0" w:color="auto"/>
            </w:tcBorders>
          </w:tcPr>
          <w:p w14:paraId="3046AAAA" w14:textId="3BBA1990" w:rsidR="00053CF5" w:rsidRPr="0046444C" w:rsidRDefault="00053CF5" w:rsidP="00053CF5">
            <w:pPr>
              <w:rPr>
                <w:rFonts w:ascii="Calibri Light" w:eastAsia="Times New Roman" w:hAnsi="Calibri Light" w:cs="Arial"/>
                <w:color w:val="FF0000"/>
                <w:sz w:val="21"/>
                <w:szCs w:val="21"/>
                <w:shd w:val="clear" w:color="auto" w:fill="FFFFFF"/>
              </w:rPr>
            </w:pPr>
          </w:p>
          <w:p w14:paraId="24FEEEF0" w14:textId="1931F4BE" w:rsidR="0046444C" w:rsidRPr="0046444C" w:rsidRDefault="00053CF5" w:rsidP="0046444C">
            <w:pPr>
              <w:rPr>
                <w:rFonts w:asciiTheme="majorHAnsi" w:eastAsia="Times New Roman" w:hAnsiTheme="majorHAnsi" w:cs="Arial"/>
                <w:b/>
                <w:color w:val="000000" w:themeColor="text1"/>
                <w:szCs w:val="20"/>
              </w:rPr>
            </w:pPr>
            <w:r w:rsidRPr="0046444C">
              <w:rPr>
                <w:rFonts w:asciiTheme="majorHAnsi" w:eastAsia="Times New Roman" w:hAnsiTheme="majorHAnsi" w:cs="Arial"/>
                <w:b/>
                <w:color w:val="FF0000"/>
                <w:szCs w:val="20"/>
              </w:rPr>
              <w:t>ACTION ITEM:</w:t>
            </w:r>
            <w:r w:rsidRPr="0046444C">
              <w:rPr>
                <w:rFonts w:asciiTheme="majorHAnsi" w:eastAsia="Times New Roman" w:hAnsiTheme="majorHAnsi" w:cs="Arial"/>
                <w:b/>
                <w:color w:val="000000" w:themeColor="text1"/>
                <w:szCs w:val="20"/>
              </w:rPr>
              <w:t xml:space="preserve"> </w:t>
            </w:r>
          </w:p>
          <w:p w14:paraId="1E3179A9" w14:textId="77777777" w:rsidR="0046444C" w:rsidRPr="0046444C" w:rsidRDefault="0046444C" w:rsidP="0046444C">
            <w:pPr>
              <w:rPr>
                <w:rFonts w:asciiTheme="majorHAnsi" w:hAnsiTheme="majorHAnsi" w:cstheme="majorHAnsi"/>
              </w:rPr>
            </w:pPr>
            <w:r w:rsidRPr="0046444C">
              <w:rPr>
                <w:rFonts w:asciiTheme="majorHAnsi" w:hAnsiTheme="majorHAnsi" w:cstheme="majorHAnsi"/>
                <w:b/>
                <w:bCs/>
              </w:rPr>
              <w:t>My Road Ahead</w:t>
            </w:r>
            <w:r w:rsidRPr="0046444C">
              <w:rPr>
                <w:rFonts w:asciiTheme="majorHAnsi" w:hAnsiTheme="majorHAnsi" w:cstheme="majorHAnsi"/>
              </w:rPr>
              <w:t xml:space="preserve">: </w:t>
            </w:r>
          </w:p>
          <w:p w14:paraId="1551A2F1" w14:textId="0F6A38FD" w:rsidR="0046444C" w:rsidRPr="0046444C" w:rsidRDefault="0046444C" w:rsidP="0046444C">
            <w:pPr>
              <w:rPr>
                <w:rFonts w:ascii="Calibri Light" w:hAnsi="Calibri Light" w:cs="Calibri Light"/>
                <w:sz w:val="21"/>
                <w:szCs w:val="21"/>
              </w:rPr>
            </w:pPr>
            <w:r w:rsidRPr="0046444C">
              <w:rPr>
                <w:rFonts w:ascii="Calibri Light" w:hAnsi="Calibri Light" w:cs="Calibri Light"/>
                <w:sz w:val="21"/>
                <w:szCs w:val="21"/>
              </w:rPr>
              <w:t>The last day to complete all activities related to your My Road Ahead development plan is Aug. 31. If you have already completed your activities, now is a great time to start thinking about your development plan for FY19. See</w:t>
            </w:r>
            <w:r w:rsidR="00784BDB">
              <w:rPr>
                <w:rFonts w:ascii="Calibri Light" w:hAnsi="Calibri Light" w:cs="Calibri Light"/>
                <w:sz w:val="21"/>
                <w:szCs w:val="21"/>
              </w:rPr>
              <w:t xml:space="preserve"> the Employee Performance Management web page at</w:t>
            </w:r>
            <w:r w:rsidRPr="0046444C">
              <w:rPr>
                <w:rFonts w:ascii="Calibri Light" w:hAnsi="Calibri Light" w:cs="Calibri Light"/>
                <w:sz w:val="21"/>
                <w:szCs w:val="21"/>
              </w:rPr>
              <w:t xml:space="preserve"> </w:t>
            </w:r>
            <w:hyperlink r:id="rId20" w:history="1">
              <w:r w:rsidRPr="0046444C">
                <w:rPr>
                  <w:rStyle w:val="Hyperlink"/>
                  <w:rFonts w:ascii="Calibri Light" w:hAnsi="Calibri Light" w:cs="Calibri Light"/>
                  <w:sz w:val="21"/>
                  <w:szCs w:val="21"/>
                </w:rPr>
                <w:t>https://hr.utmb.edu/relations/performance/</w:t>
              </w:r>
            </w:hyperlink>
            <w:r w:rsidRPr="0046444C">
              <w:rPr>
                <w:rFonts w:ascii="Calibri Light" w:hAnsi="Calibri Light" w:cs="Calibri Light"/>
                <w:sz w:val="21"/>
                <w:szCs w:val="21"/>
              </w:rPr>
              <w:t xml:space="preserve"> and </w:t>
            </w:r>
            <w:r w:rsidR="00784BDB">
              <w:rPr>
                <w:rFonts w:ascii="Calibri Light" w:hAnsi="Calibri Light" w:cs="Calibri Light"/>
                <w:sz w:val="21"/>
                <w:szCs w:val="21"/>
              </w:rPr>
              <w:t xml:space="preserve">the UT System Learning Zone web page at </w:t>
            </w:r>
            <w:hyperlink r:id="rId21" w:history="1">
              <w:r w:rsidRPr="0046444C">
                <w:rPr>
                  <w:rStyle w:val="Hyperlink"/>
                  <w:rFonts w:ascii="Calibri Light" w:hAnsi="Calibri Light" w:cs="Calibri Light"/>
                  <w:sz w:val="21"/>
                  <w:szCs w:val="21"/>
                </w:rPr>
                <w:t>https://hr.utmb.edu/tod/learning/</w:t>
              </w:r>
            </w:hyperlink>
            <w:r w:rsidRPr="0046444C">
              <w:rPr>
                <w:rFonts w:ascii="Calibri Light" w:hAnsi="Calibri Light" w:cs="Calibri Light"/>
                <w:sz w:val="21"/>
                <w:szCs w:val="21"/>
              </w:rPr>
              <w:t xml:space="preserve"> for development tools and resources. </w:t>
            </w:r>
          </w:p>
          <w:p w14:paraId="38B75337" w14:textId="545BE469" w:rsidR="00312173" w:rsidRPr="0046444C" w:rsidRDefault="0046444C" w:rsidP="0046444C">
            <w:pPr>
              <w:rPr>
                <w:rFonts w:ascii="Calibri" w:hAnsi="Calibri" w:cs="Calibri"/>
                <w:color w:val="000000"/>
              </w:rPr>
            </w:pPr>
            <w:r w:rsidRPr="0046444C">
              <w:rPr>
                <w:rFonts w:ascii="Arial" w:hAnsi="Arial" w:cs="Arial"/>
                <w:color w:val="000000"/>
              </w:rPr>
              <w:t> </w:t>
            </w:r>
          </w:p>
          <w:p w14:paraId="7EC22966" w14:textId="2AB6F125" w:rsidR="00312173" w:rsidRPr="0046444C" w:rsidRDefault="00312173" w:rsidP="00312173">
            <w:pPr>
              <w:rPr>
                <w:rFonts w:asciiTheme="majorHAnsi" w:eastAsia="Times New Roman" w:hAnsiTheme="majorHAnsi" w:cs="Arial"/>
                <w:b/>
                <w:color w:val="FF0000"/>
              </w:rPr>
            </w:pPr>
            <w:r w:rsidRPr="0046444C">
              <w:rPr>
                <w:rFonts w:asciiTheme="majorHAnsi" w:eastAsia="Times New Roman" w:hAnsiTheme="majorHAnsi" w:cs="Arial"/>
                <w:b/>
                <w:color w:val="FF0000"/>
              </w:rPr>
              <w:t>REMINDER</w:t>
            </w:r>
            <w:r w:rsidR="00CA7B36" w:rsidRPr="0046444C">
              <w:rPr>
                <w:rFonts w:asciiTheme="majorHAnsi" w:eastAsia="Times New Roman" w:hAnsiTheme="majorHAnsi" w:cs="Arial"/>
                <w:b/>
                <w:color w:val="FF0000"/>
              </w:rPr>
              <w:t>S</w:t>
            </w:r>
          </w:p>
          <w:p w14:paraId="743BCECB" w14:textId="77777777" w:rsidR="0046444C" w:rsidRPr="0046444C" w:rsidRDefault="0046444C" w:rsidP="0046444C">
            <w:pPr>
              <w:rPr>
                <w:rFonts w:ascii="Calibri Light" w:hAnsi="Calibri Light" w:cs="Calibri Light"/>
                <w:b/>
                <w:bCs/>
              </w:rPr>
            </w:pPr>
            <w:r w:rsidRPr="0046444C">
              <w:rPr>
                <w:rFonts w:ascii="Calibri Light" w:hAnsi="Calibri Light" w:cs="Calibri Light"/>
                <w:b/>
                <w:bCs/>
              </w:rPr>
              <w:t xml:space="preserve">Annual benefits enrollment: </w:t>
            </w:r>
          </w:p>
          <w:p w14:paraId="391026C7" w14:textId="66076A3C" w:rsidR="0046444C" w:rsidRPr="0046444C" w:rsidRDefault="0046444C" w:rsidP="0046444C">
            <w:pPr>
              <w:rPr>
                <w:rFonts w:ascii="Calibri Light" w:hAnsi="Calibri Light" w:cs="Calibri Light"/>
                <w:sz w:val="21"/>
                <w:szCs w:val="21"/>
              </w:rPr>
            </w:pPr>
            <w:r w:rsidRPr="0046444C">
              <w:rPr>
                <w:rFonts w:ascii="Calibri Light" w:hAnsi="Calibri Light" w:cs="Calibri Light"/>
                <w:sz w:val="21"/>
                <w:szCs w:val="21"/>
              </w:rPr>
              <w:t xml:space="preserve">The deadline for making changes to your benefits elections, adding or removing dependents, and/or enrolling in a flexible spending account for the 2018–2019 plan benefits year is 11:59 p.m. on July 31. To view or update your current coverage, log in to the </w:t>
            </w:r>
            <w:hyperlink r:id="rId22" w:history="1">
              <w:r w:rsidRPr="0046444C">
                <w:rPr>
                  <w:rStyle w:val="Hyperlink"/>
                  <w:rFonts w:ascii="Calibri Light" w:hAnsi="Calibri Light" w:cs="Calibri Light"/>
                  <w:color w:val="EA2839"/>
                  <w:sz w:val="21"/>
                  <w:szCs w:val="21"/>
                </w:rPr>
                <w:t>My UT Benefits</w:t>
              </w:r>
            </w:hyperlink>
            <w:r w:rsidRPr="0046444C">
              <w:rPr>
                <w:rFonts w:ascii="Calibri Light" w:hAnsi="Calibri Light" w:cs="Calibri Light"/>
                <w:sz w:val="21"/>
                <w:szCs w:val="21"/>
              </w:rPr>
              <w:t xml:space="preserve"> online system using the personal identification number emailed to you by the UT System Office of Employee Benefits.  For more annual enrollment information, see </w:t>
            </w:r>
            <w:hyperlink r:id="rId23" w:history="1">
              <w:r w:rsidRPr="0046444C">
                <w:rPr>
                  <w:rStyle w:val="Hyperlink"/>
                  <w:rFonts w:ascii="Calibri Light" w:hAnsi="Calibri Light" w:cs="Calibri Light"/>
                  <w:color w:val="EA2839"/>
                  <w:sz w:val="21"/>
                  <w:szCs w:val="21"/>
                </w:rPr>
                <w:t>https://hr.utmb.edu/hrbbc/benefits/annual_enrollment/</w:t>
              </w:r>
            </w:hyperlink>
            <w:r w:rsidRPr="0046444C">
              <w:rPr>
                <w:rFonts w:ascii="Calibri Light" w:hAnsi="Calibri Light" w:cs="Calibri Light"/>
                <w:sz w:val="21"/>
                <w:szCs w:val="21"/>
              </w:rPr>
              <w:t>.</w:t>
            </w:r>
          </w:p>
          <w:p w14:paraId="47EFC11A" w14:textId="77777777" w:rsidR="0046444C" w:rsidRPr="0046444C" w:rsidRDefault="0046444C" w:rsidP="0046444C">
            <w:pPr>
              <w:rPr>
                <w:rFonts w:ascii="Calibri Light" w:hAnsi="Calibri Light" w:cs="Calibri Light"/>
                <w:color w:val="000000"/>
                <w:sz w:val="21"/>
                <w:szCs w:val="21"/>
              </w:rPr>
            </w:pPr>
          </w:p>
          <w:p w14:paraId="08625356" w14:textId="77777777" w:rsidR="0046444C" w:rsidRPr="0046444C" w:rsidRDefault="0046444C" w:rsidP="0046444C">
            <w:pPr>
              <w:pStyle w:val="NoSpacing"/>
              <w:spacing w:line="276" w:lineRule="auto"/>
              <w:rPr>
                <w:rFonts w:ascii="Calibri Light" w:hAnsi="Calibri Light" w:cs="Calibri Light"/>
                <w:b/>
                <w:bCs/>
              </w:rPr>
            </w:pPr>
            <w:r w:rsidRPr="0046444C">
              <w:rPr>
                <w:rFonts w:ascii="Calibri Light" w:hAnsi="Calibri Light" w:cs="Calibri Light"/>
                <w:b/>
                <w:bCs/>
              </w:rPr>
              <w:t xml:space="preserve">Annual compliance training: </w:t>
            </w:r>
          </w:p>
          <w:p w14:paraId="3BAC7915" w14:textId="3579453F" w:rsidR="0046444C" w:rsidRPr="0046444C" w:rsidRDefault="0046444C" w:rsidP="0046444C">
            <w:pPr>
              <w:pStyle w:val="NoSpacing"/>
              <w:spacing w:line="276" w:lineRule="auto"/>
              <w:rPr>
                <w:rFonts w:ascii="Calibri Light" w:hAnsi="Calibri Light" w:cs="Calibri Light"/>
                <w:b/>
                <w:bCs/>
                <w:sz w:val="21"/>
                <w:szCs w:val="21"/>
              </w:rPr>
            </w:pPr>
            <w:r w:rsidRPr="0046444C">
              <w:rPr>
                <w:rFonts w:ascii="Calibri Light" w:hAnsi="Calibri Light" w:cs="Calibri Light"/>
                <w:sz w:val="21"/>
                <w:szCs w:val="21"/>
              </w:rPr>
              <w:t xml:space="preserve">The institutional deadline for all employees to complete their annual compliance training for FY18 is Aug. 31. Please take a few minutes today to log in to the </w:t>
            </w:r>
            <w:hyperlink r:id="rId24" w:history="1">
              <w:r w:rsidRPr="0046444C">
                <w:rPr>
                  <w:rStyle w:val="Hyperlink"/>
                  <w:rFonts w:ascii="Calibri Light" w:hAnsi="Calibri Light" w:cs="Calibri Light"/>
                  <w:color w:val="EA2839"/>
                  <w:sz w:val="21"/>
                  <w:szCs w:val="21"/>
                </w:rPr>
                <w:t>UTMB Learn</w:t>
              </w:r>
            </w:hyperlink>
            <w:r w:rsidRPr="0046444C">
              <w:rPr>
                <w:rFonts w:ascii="Calibri Light" w:hAnsi="Calibri Light" w:cs="Calibri Light"/>
                <w:sz w:val="21"/>
                <w:szCs w:val="21"/>
              </w:rPr>
              <w:t xml:space="preserve"> system at </w:t>
            </w:r>
            <w:hyperlink r:id="rId25" w:history="1">
              <w:r w:rsidRPr="0046444C">
                <w:rPr>
                  <w:rStyle w:val="Hyperlink"/>
                  <w:rFonts w:ascii="Calibri Light" w:hAnsi="Calibri Light" w:cs="Calibri Light"/>
                  <w:color w:val="EA2839"/>
                  <w:sz w:val="21"/>
                  <w:szCs w:val="21"/>
                </w:rPr>
                <w:t>https://learn.utmb.edu</w:t>
              </w:r>
            </w:hyperlink>
            <w:r w:rsidRPr="0046444C">
              <w:rPr>
                <w:rFonts w:ascii="Calibri Light" w:hAnsi="Calibri Light" w:cs="Calibri Light"/>
                <w:color w:val="EA2839"/>
                <w:sz w:val="21"/>
                <w:szCs w:val="21"/>
              </w:rPr>
              <w:t xml:space="preserve"> </w:t>
            </w:r>
            <w:r w:rsidRPr="0046444C">
              <w:rPr>
                <w:rFonts w:ascii="Calibri Light" w:hAnsi="Calibri Light" w:cs="Calibri Light"/>
                <w:sz w:val="21"/>
                <w:szCs w:val="21"/>
              </w:rPr>
              <w:t xml:space="preserve">and complete any remaining courses and activities. Employees who do not finish their training by the institutional deadline </w:t>
            </w:r>
            <w:proofErr w:type="gramStart"/>
            <w:r w:rsidRPr="0046444C">
              <w:rPr>
                <w:rFonts w:ascii="Calibri Light" w:hAnsi="Calibri Light" w:cs="Calibri Light"/>
                <w:sz w:val="21"/>
                <w:szCs w:val="21"/>
              </w:rPr>
              <w:t>will be suspended</w:t>
            </w:r>
            <w:proofErr w:type="gramEnd"/>
            <w:r w:rsidRPr="0046444C">
              <w:rPr>
                <w:rFonts w:ascii="Calibri Light" w:hAnsi="Calibri Light" w:cs="Calibri Light"/>
                <w:sz w:val="21"/>
                <w:szCs w:val="21"/>
              </w:rPr>
              <w:t xml:space="preserve"> without pay until all requirements are met. For questions or concerns about your assigned compliance training, please contact your manager or the Office of Institutional Compliance at (409) 747-8700.</w:t>
            </w:r>
          </w:p>
          <w:p w14:paraId="59EFFD14" w14:textId="1DB9795C" w:rsidR="00312173" w:rsidRDefault="0046444C" w:rsidP="00D03499">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4CA5B275" wp14:editId="2D0045D3">
                  <wp:simplePos x="0" y="0"/>
                  <wp:positionH relativeFrom="column">
                    <wp:posOffset>-12700</wp:posOffset>
                  </wp:positionH>
                  <wp:positionV relativeFrom="paragraph">
                    <wp:posOffset>124460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4CF73941" w14:textId="5E8AB285" w:rsidR="0046444C" w:rsidRDefault="0046444C" w:rsidP="0046444C">
            <w:pPr>
              <w:rPr>
                <w:rFonts w:ascii="Calibri Light" w:hAnsi="Calibri Light" w:cs="Calibri Light"/>
                <w:sz w:val="21"/>
                <w:szCs w:val="21"/>
              </w:rPr>
            </w:pPr>
            <w:r>
              <w:rPr>
                <w:rFonts w:asciiTheme="majorHAnsi" w:hAnsiTheme="majorHAnsi" w:cstheme="majorHAnsi"/>
                <w:b/>
                <w:bCs/>
                <w:color w:val="000000"/>
              </w:rPr>
              <w:t xml:space="preserve">        </w:t>
            </w:r>
            <w:r w:rsidR="001A0C1D">
              <w:rPr>
                <w:rFonts w:asciiTheme="majorHAnsi" w:hAnsiTheme="majorHAnsi" w:cstheme="majorHAnsi"/>
                <w:b/>
                <w:bCs/>
                <w:color w:val="000000"/>
              </w:rPr>
              <w:t xml:space="preserve"> </w:t>
            </w:r>
            <w:r w:rsidRPr="0046444C">
              <w:rPr>
                <w:rFonts w:asciiTheme="majorHAnsi" w:hAnsiTheme="majorHAnsi" w:cstheme="majorHAnsi"/>
                <w:b/>
                <w:bCs/>
                <w:color w:val="000000"/>
              </w:rPr>
              <w:t>The Joint Commission</w:t>
            </w:r>
            <w:r w:rsidRPr="0046444C">
              <w:rPr>
                <w:rStyle w:val="apple-converted-space"/>
                <w:rFonts w:asciiTheme="majorHAnsi" w:hAnsiTheme="majorHAnsi" w:cstheme="majorHAnsi"/>
                <w:b/>
                <w:bCs/>
                <w:color w:val="000000"/>
              </w:rPr>
              <w:t> </w:t>
            </w:r>
            <w:r w:rsidRPr="0046444C">
              <w:rPr>
                <w:rFonts w:asciiTheme="majorHAnsi" w:hAnsiTheme="majorHAnsi" w:cstheme="majorHAnsi"/>
                <w:b/>
                <w:bCs/>
                <w:color w:val="000000"/>
              </w:rPr>
              <w:t xml:space="preserve">Readiness Topic of the Week: </w:t>
            </w:r>
          </w:p>
          <w:p w14:paraId="397AB352" w14:textId="54B27153" w:rsidR="00EC490B" w:rsidRPr="00340F37" w:rsidRDefault="0046444C" w:rsidP="000317BD">
            <w:pPr>
              <w:rPr>
                <w:rFonts w:ascii="Calibri Light" w:hAnsi="Calibri Light" w:cs="Calibri Light"/>
                <w:sz w:val="21"/>
                <w:szCs w:val="21"/>
              </w:rPr>
            </w:pPr>
            <w:r w:rsidRPr="0046444C">
              <w:rPr>
                <w:rFonts w:ascii="Calibri Light" w:hAnsi="Calibri Light" w:cs="Calibri Light"/>
                <w:sz w:val="21"/>
                <w:szCs w:val="21"/>
              </w:rPr>
              <w:t xml:space="preserve">Continual survey readiness is key! To help ensure we are always compliant with TJC standards, regardless of our survey timeline, we should follow practices and policies that support </w:t>
            </w:r>
            <w:hyperlink r:id="rId26" w:history="1">
              <w:r w:rsidRPr="0046444C">
                <w:rPr>
                  <w:rStyle w:val="Hyperlink"/>
                  <w:rFonts w:ascii="Calibri Light" w:hAnsi="Calibri Light" w:cs="Calibri Light"/>
                  <w:sz w:val="21"/>
                  <w:szCs w:val="21"/>
                </w:rPr>
                <w:t>a culture in which patient safety and high-quality care is always the top priority</w:t>
              </w:r>
            </w:hyperlink>
            <w:r w:rsidRPr="0046444C">
              <w:rPr>
                <w:rFonts w:ascii="Calibri Light" w:hAnsi="Calibri Light" w:cs="Calibri Light"/>
                <w:sz w:val="21"/>
                <w:szCs w:val="21"/>
              </w:rPr>
              <w:t xml:space="preserve">! For a list of key preparedness tips, please visit a “Continual Readiness Information Sheet” on UTMB’s Joint Commission webpage at </w:t>
            </w:r>
            <w:hyperlink r:id="rId27" w:history="1">
              <w:r w:rsidRPr="0046444C">
                <w:rPr>
                  <w:rStyle w:val="Hyperlink"/>
                  <w:rFonts w:ascii="Calibri Light" w:hAnsi="Calibri Light" w:cs="Calibri Light"/>
                  <w:sz w:val="21"/>
                  <w:szCs w:val="21"/>
                </w:rPr>
                <w:t>http://intranet.utmb.edu/QHS/TheJointCommission</w:t>
              </w:r>
            </w:hyperlink>
            <w:r w:rsidRPr="0046444C">
              <w:rPr>
                <w:rFonts w:ascii="Calibri Light" w:hAnsi="Calibri Light" w:cs="Calibri Light"/>
                <w:sz w:val="21"/>
                <w:szCs w:val="21"/>
              </w:rPr>
              <w:t xml:space="preserve"> or you may download the PDF directly at</w:t>
            </w:r>
            <w:r w:rsidRPr="0046444C">
              <w:rPr>
                <w:rFonts w:ascii="Calibri Light" w:hAnsi="Calibri Light" w:cs="Calibri Light"/>
                <w:b/>
                <w:bCs/>
                <w:sz w:val="21"/>
                <w:szCs w:val="21"/>
              </w:rPr>
              <w:t xml:space="preserve"> </w:t>
            </w:r>
            <w:hyperlink r:id="rId28" w:history="1">
              <w:r w:rsidRPr="0046444C">
                <w:rPr>
                  <w:rStyle w:val="Hyperlink"/>
                  <w:rFonts w:ascii="Calibri Light" w:hAnsi="Calibri Light" w:cs="Calibri Light"/>
                  <w:sz w:val="21"/>
                  <w:szCs w:val="21"/>
                </w:rPr>
                <w:t>https://utmb.us/2w0</w:t>
              </w:r>
            </w:hyperlink>
            <w:r w:rsidRPr="0046444C">
              <w:rPr>
                <w:rFonts w:ascii="Calibri Light" w:hAnsi="Calibri Light" w:cs="Calibri Light"/>
                <w:sz w:val="21"/>
                <w:szCs w:val="21"/>
              </w:rPr>
              <w:t xml:space="preserve">.  </w:t>
            </w:r>
          </w:p>
        </w:tc>
        <w:tc>
          <w:tcPr>
            <w:tcW w:w="5963" w:type="dxa"/>
            <w:gridSpan w:val="2"/>
            <w:tcBorders>
              <w:left w:val="single" w:sz="4" w:space="0" w:color="auto"/>
              <w:right w:val="single" w:sz="8" w:space="0" w:color="auto"/>
            </w:tcBorders>
            <w:shd w:val="clear" w:color="auto" w:fill="FFFFFF" w:themeFill="background1"/>
          </w:tcPr>
          <w:p w14:paraId="18380013" w14:textId="2FA2D690" w:rsidR="00337455" w:rsidRPr="00EE7B1F" w:rsidRDefault="00337455"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5D208D">
            <w:pPr>
              <w:spacing w:before="60"/>
              <w:rPr>
                <w:rFonts w:asciiTheme="majorHAnsi" w:hAnsiTheme="majorHAnsi"/>
                <w:b/>
                <w:color w:val="FF0000"/>
                <w:sz w:val="28"/>
              </w:rPr>
            </w:pPr>
            <w:r>
              <w:rPr>
                <w:rFonts w:asciiTheme="majorHAnsi" w:hAnsiTheme="majorHAnsi"/>
                <w:b/>
                <w:color w:val="FF0000"/>
                <w:sz w:val="28"/>
              </w:rPr>
              <w:t>DID YOU KNOW?</w:t>
            </w:r>
          </w:p>
          <w:p w14:paraId="20537514" w14:textId="2943754D" w:rsidR="00312173" w:rsidRDefault="00312173" w:rsidP="005D208D">
            <w:pPr>
              <w:rPr>
                <w:rFonts w:ascii="Calibri Light" w:hAnsi="Calibri Light" w:cs="Calibri Light"/>
                <w:color w:val="333333"/>
                <w:sz w:val="21"/>
                <w:szCs w:val="21"/>
              </w:rPr>
            </w:pPr>
          </w:p>
          <w:p w14:paraId="29F3D34D" w14:textId="734FF4A2" w:rsidR="00312173" w:rsidRPr="00340F37" w:rsidRDefault="005D208D" w:rsidP="00340F37">
            <w:pPr>
              <w:rPr>
                <w:rFonts w:ascii="Calibri Light" w:hAnsi="Calibri Light" w:cs="Calibri Light"/>
                <w:sz w:val="21"/>
                <w:szCs w:val="21"/>
              </w:rPr>
            </w:pPr>
            <w:r w:rsidRPr="005D208D">
              <w:rPr>
                <w:rFonts w:ascii="Calibri Light" w:hAnsi="Calibri Light" w:cs="Calibri Light"/>
                <w:sz w:val="21"/>
                <w:szCs w:val="21"/>
              </w:rPr>
              <w:t xml:space="preserve">On a “typical day” at UTMB, we discharge more than 88 patients, deliver 17 babies, treat 217 patients in our emergency rooms, and record 2,941 outpatient encounters. We also educate 3,302 students. You can learn more </w:t>
            </w:r>
            <w:proofErr w:type="gramStart"/>
            <w:r w:rsidRPr="005D208D">
              <w:rPr>
                <w:rFonts w:ascii="Calibri Light" w:hAnsi="Calibri Light" w:cs="Calibri Light"/>
                <w:sz w:val="21"/>
                <w:szCs w:val="21"/>
              </w:rPr>
              <w:t>facts and figures</w:t>
            </w:r>
            <w:proofErr w:type="gramEnd"/>
            <w:r w:rsidRPr="005D208D">
              <w:rPr>
                <w:rFonts w:ascii="Calibri Light" w:hAnsi="Calibri Light" w:cs="Calibri Light"/>
                <w:sz w:val="21"/>
                <w:szCs w:val="21"/>
              </w:rPr>
              <w:t xml:space="preserve"> related to UTMB’s patient care, research and education missions by reviewing the Data Reference Card, which is updated at the beginning of each calendar year and available online at </w:t>
            </w:r>
            <w:hyperlink r:id="rId29" w:history="1">
              <w:r w:rsidRPr="005D208D">
                <w:rPr>
                  <w:rStyle w:val="Hyperlink"/>
                  <w:rFonts w:ascii="Calibri Light" w:hAnsi="Calibri Light" w:cs="Calibri Light"/>
                  <w:sz w:val="21"/>
                  <w:szCs w:val="21"/>
                </w:rPr>
                <w:t>https://www.utmb.edu/facts</w:t>
              </w:r>
            </w:hyperlink>
            <w:r w:rsidRPr="005D208D">
              <w:rPr>
                <w:rFonts w:ascii="Calibri Light" w:hAnsi="Calibri Light" w:cs="Calibri Light"/>
                <w:sz w:val="21"/>
                <w:szCs w:val="21"/>
              </w:rPr>
              <w:t>.</w:t>
            </w:r>
          </w:p>
        </w:tc>
      </w:tr>
    </w:tbl>
    <w:p w14:paraId="7247DB5A" w14:textId="003FF8E1"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3631D" w14:textId="77777777" w:rsidR="003E303D" w:rsidRDefault="003E303D" w:rsidP="00874B86">
      <w:r>
        <w:separator/>
      </w:r>
    </w:p>
  </w:endnote>
  <w:endnote w:type="continuationSeparator" w:id="0">
    <w:p w14:paraId="691F2B22" w14:textId="77777777" w:rsidR="003E303D" w:rsidRDefault="003E303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0D5AC" w14:textId="77777777" w:rsidR="003E303D" w:rsidRDefault="003E303D" w:rsidP="00874B86">
      <w:r>
        <w:separator/>
      </w:r>
    </w:p>
  </w:footnote>
  <w:footnote w:type="continuationSeparator" w:id="0">
    <w:p w14:paraId="3D58FE9B" w14:textId="77777777" w:rsidR="003E303D" w:rsidRDefault="003E303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80033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144.6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9"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22"/>
  </w:num>
  <w:num w:numId="4">
    <w:abstractNumId w:val="0"/>
  </w:num>
  <w:num w:numId="5">
    <w:abstractNumId w:val="1"/>
  </w:num>
  <w:num w:numId="6">
    <w:abstractNumId w:val="2"/>
  </w:num>
  <w:num w:numId="7">
    <w:abstractNumId w:val="4"/>
  </w:num>
  <w:num w:numId="8">
    <w:abstractNumId w:val="28"/>
  </w:num>
  <w:num w:numId="9">
    <w:abstractNumId w:val="11"/>
  </w:num>
  <w:num w:numId="10">
    <w:abstractNumId w:val="18"/>
  </w:num>
  <w:num w:numId="11">
    <w:abstractNumId w:val="16"/>
  </w:num>
  <w:num w:numId="12">
    <w:abstractNumId w:val="6"/>
  </w:num>
  <w:num w:numId="13">
    <w:abstractNumId w:val="23"/>
  </w:num>
  <w:num w:numId="14">
    <w:abstractNumId w:val="20"/>
  </w:num>
  <w:num w:numId="15">
    <w:abstractNumId w:val="33"/>
  </w:num>
  <w:num w:numId="16">
    <w:abstractNumId w:val="14"/>
  </w:num>
  <w:num w:numId="17">
    <w:abstractNumId w:val="32"/>
  </w:num>
  <w:num w:numId="18">
    <w:abstractNumId w:val="8"/>
  </w:num>
  <w:num w:numId="19">
    <w:abstractNumId w:val="21"/>
  </w:num>
  <w:num w:numId="20">
    <w:abstractNumId w:val="29"/>
  </w:num>
  <w:num w:numId="21">
    <w:abstractNumId w:val="34"/>
  </w:num>
  <w:num w:numId="22">
    <w:abstractNumId w:val="10"/>
  </w:num>
  <w:num w:numId="23">
    <w:abstractNumId w:val="27"/>
  </w:num>
  <w:num w:numId="24">
    <w:abstractNumId w:val="30"/>
  </w:num>
  <w:num w:numId="25">
    <w:abstractNumId w:val="9"/>
  </w:num>
  <w:num w:numId="26">
    <w:abstractNumId w:val="3"/>
  </w:num>
  <w:num w:numId="27">
    <w:abstractNumId w:val="15"/>
  </w:num>
  <w:num w:numId="28">
    <w:abstractNumId w:val="7"/>
  </w:num>
  <w:num w:numId="29">
    <w:abstractNumId w:val="26"/>
  </w:num>
  <w:num w:numId="30">
    <w:abstractNumId w:val="36"/>
  </w:num>
  <w:num w:numId="31">
    <w:abstractNumId w:val="25"/>
  </w:num>
  <w:num w:numId="32">
    <w:abstractNumId w:val="17"/>
  </w:num>
  <w:num w:numId="33">
    <w:abstractNumId w:val="13"/>
  </w:num>
  <w:num w:numId="34">
    <w:abstractNumId w:val="19"/>
  </w:num>
  <w:num w:numId="35">
    <w:abstractNumId w:val="12"/>
  </w:num>
  <w:num w:numId="36">
    <w:abstractNumId w:val="35"/>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0C1D"/>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21A7"/>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0F37"/>
    <w:rsid w:val="0034257F"/>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303D"/>
    <w:rsid w:val="003E5BB0"/>
    <w:rsid w:val="003F0266"/>
    <w:rsid w:val="003F3914"/>
    <w:rsid w:val="00415311"/>
    <w:rsid w:val="00425BC2"/>
    <w:rsid w:val="00427614"/>
    <w:rsid w:val="0042789B"/>
    <w:rsid w:val="004344E8"/>
    <w:rsid w:val="004442B2"/>
    <w:rsid w:val="00452691"/>
    <w:rsid w:val="00456E37"/>
    <w:rsid w:val="0046357C"/>
    <w:rsid w:val="00463F9C"/>
    <w:rsid w:val="0046444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4BDB"/>
    <w:rsid w:val="00787883"/>
    <w:rsid w:val="00790A71"/>
    <w:rsid w:val="0079222C"/>
    <w:rsid w:val="00793B02"/>
    <w:rsid w:val="007A00A3"/>
    <w:rsid w:val="007A132B"/>
    <w:rsid w:val="007A1EB2"/>
    <w:rsid w:val="007A6F4E"/>
    <w:rsid w:val="007B196E"/>
    <w:rsid w:val="007B7890"/>
    <w:rsid w:val="007D171D"/>
    <w:rsid w:val="007D3EB3"/>
    <w:rsid w:val="007D73C2"/>
    <w:rsid w:val="007E5EBB"/>
    <w:rsid w:val="007F5801"/>
    <w:rsid w:val="007F788A"/>
    <w:rsid w:val="00800335"/>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A349F"/>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president" TargetMode="External"/><Relationship Id="rId18" Type="http://schemas.openxmlformats.org/officeDocument/2006/relationships/image" Target="media/image7.png"/><Relationship Id="rId26" Type="http://schemas.openxmlformats.org/officeDocument/2006/relationships/hyperlink" Target="https://www.compass-clinical.com/patient-safety-assessment/" TargetMode="External"/><Relationship Id="rId3" Type="http://schemas.openxmlformats.org/officeDocument/2006/relationships/styles" Target="styles.xml"/><Relationship Id="rId21" Type="http://schemas.openxmlformats.org/officeDocument/2006/relationships/hyperlink" Target="https://hr.utmb.edu/tod/learnin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learn.utmb.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hr.utmb.edu/relations/performance/" TargetMode="External"/><Relationship Id="rId29" Type="http://schemas.openxmlformats.org/officeDocument/2006/relationships/hyperlink" Target="https://www.utmb.edu/f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learn.utmb.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mb.edu/iutmb" TargetMode="External"/><Relationship Id="rId23" Type="http://schemas.openxmlformats.org/officeDocument/2006/relationships/hyperlink" Target="https://hr.utmb.edu/hrbbc/benefits/annual_enrollment/" TargetMode="External"/><Relationship Id="rId28" Type="http://schemas.openxmlformats.org/officeDocument/2006/relationships/hyperlink" Target="https://utmb.us/2w0" TargetMode="Externa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newsroom/" TargetMode="External"/><Relationship Id="rId22" Type="http://schemas.openxmlformats.org/officeDocument/2006/relationships/hyperlink" Target="https://utdirect.utexas.edu/nlogon/sgwww/myUTBenefits/index.WBX" TargetMode="External"/><Relationship Id="rId27" Type="http://schemas.openxmlformats.org/officeDocument/2006/relationships/hyperlink" Target="http://intranet.utmb.edu/QHS/TheJointCommission" TargetMode="External"/><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27FC-85F3-4A6F-AD00-9A7CF81A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12</cp:revision>
  <cp:lastPrinted>2018-07-26T15:58:00Z</cp:lastPrinted>
  <dcterms:created xsi:type="dcterms:W3CDTF">2018-07-26T14:58:00Z</dcterms:created>
  <dcterms:modified xsi:type="dcterms:W3CDTF">2018-07-31T17:46:00Z</dcterms:modified>
</cp:coreProperties>
</file>